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9220C" w:rsidRPr="00CF2834" w14:paraId="013A38F4" w14:textId="77777777" w:rsidTr="004E2858">
        <w:trPr>
          <w:tblHeader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00C4184" w14:textId="708573FA" w:rsidR="0049220C" w:rsidRPr="00CF2834" w:rsidRDefault="0049220C" w:rsidP="0049220C">
            <w:pPr>
              <w:jc w:val="center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  <w:sz w:val="28"/>
                <w:szCs w:val="28"/>
              </w:rPr>
              <w:t>Grade</w:t>
            </w:r>
            <w:r w:rsidR="004E2858">
              <w:rPr>
                <w:rFonts w:ascii="Cambria" w:hAnsi="Cambria"/>
                <w:b/>
                <w:sz w:val="28"/>
                <w:szCs w:val="28"/>
              </w:rPr>
              <w:t xml:space="preserve"> ____</w:t>
            </w:r>
            <w:r w:rsidRPr="00CF2834">
              <w:rPr>
                <w:rFonts w:ascii="Cambria" w:hAnsi="Cambria"/>
                <w:b/>
                <w:sz w:val="28"/>
                <w:szCs w:val="28"/>
              </w:rPr>
              <w:t xml:space="preserve"> Interactive Read Aloud Planning </w:t>
            </w:r>
            <w:r w:rsidR="004E2858">
              <w:rPr>
                <w:rFonts w:ascii="Cambria" w:hAnsi="Cambria"/>
                <w:b/>
                <w:sz w:val="28"/>
                <w:szCs w:val="28"/>
              </w:rPr>
              <w:t>Template</w:t>
            </w:r>
          </w:p>
        </w:tc>
      </w:tr>
      <w:tr w:rsidR="009C50B4" w:rsidRPr="00CF2834" w14:paraId="5C847C7E" w14:textId="77777777" w:rsidTr="001B1B83">
        <w:tc>
          <w:tcPr>
            <w:tcW w:w="5395" w:type="dxa"/>
            <w:shd w:val="clear" w:color="auto" w:fill="auto"/>
          </w:tcPr>
          <w:p w14:paraId="6D8A8CA2" w14:textId="5ADA2931" w:rsidR="009C50B4" w:rsidRPr="00CF2834" w:rsidRDefault="009C50B4" w:rsidP="00450935">
            <w:pPr>
              <w:jc w:val="both"/>
              <w:rPr>
                <w:rFonts w:ascii="Cambria" w:hAnsi="Cambria"/>
                <w:bCs/>
              </w:rPr>
            </w:pPr>
            <w:r w:rsidRPr="00CF2834">
              <w:rPr>
                <w:rFonts w:ascii="Cambria" w:hAnsi="Cambria"/>
                <w:b/>
              </w:rPr>
              <w:t>Text</w:t>
            </w:r>
            <w:r w:rsidR="00192A56">
              <w:rPr>
                <w:rFonts w:ascii="Cambria" w:hAnsi="Cambria"/>
                <w:b/>
              </w:rPr>
              <w:t xml:space="preserve"> Title</w:t>
            </w:r>
            <w:r w:rsidRPr="00CF2834">
              <w:rPr>
                <w:rFonts w:ascii="Cambria" w:hAnsi="Cambria"/>
                <w:b/>
              </w:rPr>
              <w:t>:</w:t>
            </w:r>
          </w:p>
          <w:p w14:paraId="2C008C60" w14:textId="2FD81E80" w:rsidR="009C50B4" w:rsidRPr="00CF2834" w:rsidRDefault="009C50B4" w:rsidP="00450935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  <w:b/>
              </w:rPr>
              <w:t>Text Level:</w:t>
            </w:r>
          </w:p>
        </w:tc>
        <w:tc>
          <w:tcPr>
            <w:tcW w:w="5395" w:type="dxa"/>
          </w:tcPr>
          <w:p w14:paraId="2753FFAE" w14:textId="6DA0DFA0" w:rsidR="009C50B4" w:rsidRPr="00CF2834" w:rsidRDefault="009C50B4" w:rsidP="00D2550D">
            <w:pPr>
              <w:rPr>
                <w:rFonts w:ascii="Cambria" w:hAnsi="Cambria"/>
                <w:bCs/>
              </w:rPr>
            </w:pPr>
            <w:r w:rsidRPr="00CF2834">
              <w:rPr>
                <w:rFonts w:ascii="Cambria" w:hAnsi="Cambria"/>
                <w:b/>
              </w:rPr>
              <w:t>Number of Session(s):</w:t>
            </w:r>
          </w:p>
        </w:tc>
      </w:tr>
      <w:tr w:rsidR="009C50B4" w:rsidRPr="00CF2834" w14:paraId="252C4A9F" w14:textId="77777777" w:rsidTr="054F23FC">
        <w:trPr>
          <w:trHeight w:val="274"/>
        </w:trPr>
        <w:tc>
          <w:tcPr>
            <w:tcW w:w="5395" w:type="dxa"/>
          </w:tcPr>
          <w:p w14:paraId="39D53762" w14:textId="241B8FFD" w:rsidR="009C50B4" w:rsidRPr="00CF2834" w:rsidRDefault="009C50B4" w:rsidP="00D2550D">
            <w:pPr>
              <w:rPr>
                <w:rFonts w:ascii="Cambria" w:hAnsi="Cambria"/>
              </w:rPr>
            </w:pPr>
            <w:r w:rsidRPr="00CF2834">
              <w:rPr>
                <w:rFonts w:ascii="Cambria" w:hAnsi="Cambria"/>
                <w:b/>
              </w:rPr>
              <w:t>Author(s):</w:t>
            </w:r>
          </w:p>
        </w:tc>
        <w:tc>
          <w:tcPr>
            <w:tcW w:w="5395" w:type="dxa"/>
          </w:tcPr>
          <w:p w14:paraId="61A8D626" w14:textId="30D1696E" w:rsidR="009C50B4" w:rsidRPr="00CF2834" w:rsidRDefault="009C50B4" w:rsidP="00D2550D">
            <w:pPr>
              <w:rPr>
                <w:rFonts w:ascii="Cambria" w:hAnsi="Cambria"/>
              </w:rPr>
            </w:pPr>
            <w:r w:rsidRPr="00CF2834">
              <w:rPr>
                <w:rFonts w:ascii="Cambria" w:hAnsi="Cambria"/>
                <w:b/>
              </w:rPr>
              <w:t>Illustrator(s):</w:t>
            </w:r>
          </w:p>
        </w:tc>
      </w:tr>
      <w:tr w:rsidR="009C50B4" w:rsidRPr="00CF2834" w14:paraId="6C1740AA" w14:textId="77777777" w:rsidTr="054F23FC">
        <w:trPr>
          <w:trHeight w:val="273"/>
        </w:trPr>
        <w:tc>
          <w:tcPr>
            <w:tcW w:w="5395" w:type="dxa"/>
          </w:tcPr>
          <w:p w14:paraId="01A7000E" w14:textId="17AE20CA" w:rsidR="009C50B4" w:rsidRPr="00CF2834" w:rsidRDefault="009C50B4" w:rsidP="00D2550D">
            <w:pPr>
              <w:rPr>
                <w:rFonts w:ascii="Cambria" w:hAnsi="Cambria"/>
              </w:rPr>
            </w:pPr>
            <w:r w:rsidRPr="00CF2834">
              <w:rPr>
                <w:rFonts w:ascii="Cambria" w:hAnsi="Cambria"/>
                <w:b/>
              </w:rPr>
              <w:t>Genre:</w:t>
            </w:r>
          </w:p>
        </w:tc>
        <w:tc>
          <w:tcPr>
            <w:tcW w:w="5395" w:type="dxa"/>
          </w:tcPr>
          <w:p w14:paraId="3F45994F" w14:textId="45CA7369" w:rsidR="009C50B4" w:rsidRPr="00CF2834" w:rsidRDefault="00192A56" w:rsidP="00D2550D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Unit of Study Topic</w:t>
            </w:r>
            <w:r w:rsidR="009C50B4" w:rsidRPr="00CF2834">
              <w:rPr>
                <w:rFonts w:ascii="Cambria" w:hAnsi="Cambria"/>
                <w:b/>
              </w:rPr>
              <w:t>:</w:t>
            </w:r>
          </w:p>
        </w:tc>
      </w:tr>
      <w:tr w:rsidR="009C50B4" w:rsidRPr="00CF2834" w14:paraId="2068C147" w14:textId="77777777" w:rsidTr="054F23FC">
        <w:trPr>
          <w:trHeight w:val="274"/>
        </w:trPr>
        <w:tc>
          <w:tcPr>
            <w:tcW w:w="5395" w:type="dxa"/>
          </w:tcPr>
          <w:p w14:paraId="66A705F7" w14:textId="1108BCC2" w:rsidR="009C50B4" w:rsidRPr="00CF2834" w:rsidRDefault="00CA2EB4" w:rsidP="00D2550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BEST</w:t>
            </w:r>
            <w:r w:rsidR="009C50B4" w:rsidRPr="00CF2834">
              <w:rPr>
                <w:rFonts w:ascii="Cambria" w:hAnsi="Cambria"/>
                <w:b/>
              </w:rPr>
              <w:t xml:space="preserve"> Focus Standard (select one):  </w:t>
            </w:r>
          </w:p>
          <w:p w14:paraId="68FF7AE3" w14:textId="109CD690" w:rsidR="004F0466" w:rsidRDefault="00CA2EB4" w:rsidP="00D2550D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</w:rPr>
              <w:t>BEST number and text</w:t>
            </w:r>
            <w:r w:rsidR="00192A56">
              <w:rPr>
                <w:rFonts w:ascii="Cambria" w:hAnsi="Cambria"/>
              </w:rPr>
              <w:t xml:space="preserve"> of standard</w:t>
            </w:r>
          </w:p>
          <w:p w14:paraId="3053228B" w14:textId="77777777" w:rsidR="00192A56" w:rsidRPr="00CF2834" w:rsidRDefault="00192A56" w:rsidP="00D2550D">
            <w:pPr>
              <w:jc w:val="both"/>
              <w:rPr>
                <w:rFonts w:ascii="Cambria" w:hAnsi="Cambria"/>
              </w:rPr>
            </w:pPr>
          </w:p>
          <w:p w14:paraId="7E1AA210" w14:textId="554FFF58" w:rsidR="00CA2EB4" w:rsidRPr="00CF2834" w:rsidRDefault="054F23FC" w:rsidP="00D2550D">
            <w:pPr>
              <w:jc w:val="both"/>
              <w:rPr>
                <w:rFonts w:ascii="Cambria" w:hAnsi="Cambria"/>
                <w:b/>
                <w:bCs/>
              </w:rPr>
            </w:pPr>
            <w:r w:rsidRPr="00CF2834">
              <w:rPr>
                <w:rFonts w:ascii="Cambria" w:hAnsi="Cambria"/>
                <w:b/>
                <w:bCs/>
              </w:rPr>
              <w:t>Academic Vocabulary in the Standard (Tier 2):</w:t>
            </w:r>
          </w:p>
          <w:p w14:paraId="7903C8C1" w14:textId="0060FB9A" w:rsidR="00CA2EB4" w:rsidRDefault="00F525E7" w:rsidP="00D2550D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</w:rPr>
              <w:t>List academic vocabulary</w:t>
            </w:r>
          </w:p>
          <w:p w14:paraId="23A0F2E7" w14:textId="77777777" w:rsidR="00192A56" w:rsidRPr="00CF2834" w:rsidRDefault="00192A56" w:rsidP="00D2550D">
            <w:pPr>
              <w:jc w:val="both"/>
              <w:rPr>
                <w:rFonts w:ascii="Cambria" w:hAnsi="Cambria"/>
              </w:rPr>
            </w:pPr>
          </w:p>
          <w:p w14:paraId="0B2DBCAD" w14:textId="1C591DBD" w:rsidR="009C50B4" w:rsidRPr="00CF2834" w:rsidRDefault="009C50B4" w:rsidP="00D2550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 xml:space="preserve">Supporting </w:t>
            </w:r>
            <w:r w:rsidR="00CA2EB4" w:rsidRPr="00CF2834">
              <w:rPr>
                <w:rFonts w:ascii="Cambria" w:hAnsi="Cambria"/>
                <w:b/>
              </w:rPr>
              <w:t xml:space="preserve">BEST </w:t>
            </w:r>
            <w:r w:rsidRPr="00CF2834">
              <w:rPr>
                <w:rFonts w:ascii="Cambria" w:hAnsi="Cambria"/>
                <w:b/>
              </w:rPr>
              <w:t>Standard(s):</w:t>
            </w:r>
          </w:p>
          <w:p w14:paraId="5E9299FB" w14:textId="2F80394F" w:rsidR="00192A56" w:rsidRPr="00CF2834" w:rsidRDefault="00CA2EB4" w:rsidP="00D2550D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</w:rPr>
              <w:t>BEST number only</w:t>
            </w:r>
          </w:p>
        </w:tc>
        <w:tc>
          <w:tcPr>
            <w:tcW w:w="5395" w:type="dxa"/>
            <w:vMerge w:val="restart"/>
          </w:tcPr>
          <w:p w14:paraId="42398D54" w14:textId="77777777" w:rsidR="00614CF8" w:rsidRPr="00CF2834" w:rsidRDefault="009C50B4" w:rsidP="00D2550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Connected Content Standards:</w:t>
            </w:r>
          </w:p>
          <w:p w14:paraId="7664E1AA" w14:textId="6FDE0BDE" w:rsidR="004F0466" w:rsidRDefault="00614CF8" w:rsidP="00D2550D">
            <w:pPr>
              <w:jc w:val="both"/>
              <w:rPr>
                <w:rFonts w:ascii="Cambria" w:hAnsi="Cambria"/>
                <w:color w:val="000000"/>
              </w:rPr>
            </w:pPr>
            <w:r w:rsidRPr="00CF2834">
              <w:rPr>
                <w:rFonts w:ascii="Cambria" w:hAnsi="Cambria"/>
                <w:color w:val="000000"/>
              </w:rPr>
              <w:t xml:space="preserve">Standard </w:t>
            </w:r>
            <w:r w:rsidR="009E0C5C" w:rsidRPr="00CF2834">
              <w:rPr>
                <w:rFonts w:ascii="Cambria" w:hAnsi="Cambria"/>
                <w:color w:val="000000"/>
              </w:rPr>
              <w:t>number</w:t>
            </w:r>
            <w:r w:rsidR="00CA2EB4" w:rsidRPr="00CF2834">
              <w:rPr>
                <w:rFonts w:ascii="Cambria" w:hAnsi="Cambria"/>
                <w:color w:val="000000"/>
              </w:rPr>
              <w:t xml:space="preserve"> and </w:t>
            </w:r>
            <w:r w:rsidR="009E0C5C" w:rsidRPr="00CF2834">
              <w:rPr>
                <w:rFonts w:ascii="Cambria" w:hAnsi="Cambria"/>
                <w:color w:val="000000"/>
              </w:rPr>
              <w:t>t</w:t>
            </w:r>
            <w:r w:rsidR="00CA2EB4" w:rsidRPr="00CF2834">
              <w:rPr>
                <w:rFonts w:ascii="Cambria" w:hAnsi="Cambria"/>
                <w:color w:val="000000"/>
              </w:rPr>
              <w:t>ext</w:t>
            </w:r>
            <w:r w:rsidR="00192A56">
              <w:rPr>
                <w:rFonts w:ascii="Cambria" w:hAnsi="Cambria"/>
                <w:color w:val="000000"/>
              </w:rPr>
              <w:t xml:space="preserve"> of standard</w:t>
            </w:r>
          </w:p>
          <w:p w14:paraId="5CCA6132" w14:textId="77777777" w:rsidR="00192A56" w:rsidRPr="00CF2834" w:rsidRDefault="00192A56" w:rsidP="00D2550D">
            <w:pPr>
              <w:jc w:val="both"/>
              <w:rPr>
                <w:rFonts w:ascii="Cambria" w:hAnsi="Cambria"/>
                <w:b/>
              </w:rPr>
            </w:pPr>
          </w:p>
          <w:p w14:paraId="3D4E345E" w14:textId="77777777" w:rsidR="00CA2EB4" w:rsidRPr="00CF2834" w:rsidRDefault="009C50B4" w:rsidP="00D2550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Academic Vocabulary in the Standard (Tier 2):</w:t>
            </w:r>
          </w:p>
          <w:p w14:paraId="63EF7DBC" w14:textId="1AB09147" w:rsidR="009C50B4" w:rsidRDefault="00614CF8" w:rsidP="00D2550D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</w:rPr>
              <w:t>List academic vocabulary</w:t>
            </w:r>
          </w:p>
          <w:p w14:paraId="02C2191A" w14:textId="77777777" w:rsidR="00192A56" w:rsidRPr="00CF2834" w:rsidRDefault="00192A56" w:rsidP="00D2550D">
            <w:pPr>
              <w:jc w:val="both"/>
              <w:rPr>
                <w:rFonts w:ascii="Cambria" w:hAnsi="Cambria"/>
                <w:b/>
              </w:rPr>
            </w:pPr>
          </w:p>
          <w:p w14:paraId="0B84869D" w14:textId="77777777" w:rsidR="009C50B4" w:rsidRPr="00CF2834" w:rsidRDefault="009C50B4" w:rsidP="00D2550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Content-Specific Vocabulary from the Text (Tier 3):</w:t>
            </w:r>
          </w:p>
          <w:p w14:paraId="4372A675" w14:textId="7C355C7D" w:rsidR="00614CF8" w:rsidRPr="00CF2834" w:rsidRDefault="00614CF8" w:rsidP="00D2550D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</w:rPr>
              <w:t>List content vocabulary</w:t>
            </w:r>
          </w:p>
        </w:tc>
      </w:tr>
      <w:tr w:rsidR="009C50B4" w:rsidRPr="00CF2834" w14:paraId="2BBACBAF" w14:textId="77777777" w:rsidTr="00002DE8">
        <w:trPr>
          <w:trHeight w:val="620"/>
        </w:trPr>
        <w:tc>
          <w:tcPr>
            <w:tcW w:w="5395" w:type="dxa"/>
          </w:tcPr>
          <w:p w14:paraId="57803855" w14:textId="614606CA" w:rsidR="009C50B4" w:rsidRPr="00CF2834" w:rsidRDefault="00CA2EB4" w:rsidP="00D2550D">
            <w:pPr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BEST</w:t>
            </w:r>
            <w:r w:rsidR="009C50B4" w:rsidRPr="00CF2834">
              <w:rPr>
                <w:rFonts w:ascii="Cambria" w:hAnsi="Cambria"/>
                <w:b/>
              </w:rPr>
              <w:t xml:space="preserve"> Standards (always embedded): </w:t>
            </w:r>
          </w:p>
          <w:p w14:paraId="1CB4D747" w14:textId="6B00C73B" w:rsidR="009C50B4" w:rsidRPr="00CF2834" w:rsidRDefault="009E0C5C" w:rsidP="00D2550D">
            <w:pPr>
              <w:rPr>
                <w:rFonts w:ascii="Cambria" w:hAnsi="Cambria"/>
              </w:rPr>
            </w:pPr>
            <w:r w:rsidRPr="00CF2834">
              <w:rPr>
                <w:rFonts w:ascii="Cambria" w:hAnsi="Cambria"/>
              </w:rPr>
              <w:t>BEST number only</w:t>
            </w:r>
            <w:r w:rsidR="00002DE8" w:rsidRPr="00CF2834">
              <w:rPr>
                <w:rFonts w:ascii="Cambria" w:hAnsi="Cambria"/>
              </w:rPr>
              <w:t xml:space="preserve">  </w:t>
            </w:r>
          </w:p>
        </w:tc>
        <w:tc>
          <w:tcPr>
            <w:tcW w:w="5395" w:type="dxa"/>
            <w:vMerge/>
          </w:tcPr>
          <w:p w14:paraId="234BBDBD" w14:textId="1ECC3FB5" w:rsidR="009C50B4" w:rsidRPr="00CF2834" w:rsidRDefault="009C50B4">
            <w:pPr>
              <w:rPr>
                <w:rFonts w:ascii="Cambria" w:hAnsi="Cambria"/>
              </w:rPr>
            </w:pPr>
          </w:p>
        </w:tc>
      </w:tr>
      <w:tr w:rsidR="009C50B4" w:rsidRPr="00CF2834" w14:paraId="4EA9B3F3" w14:textId="77777777" w:rsidTr="054F23FC">
        <w:tc>
          <w:tcPr>
            <w:tcW w:w="10790" w:type="dxa"/>
            <w:gridSpan w:val="2"/>
          </w:tcPr>
          <w:p w14:paraId="691B0577" w14:textId="77777777" w:rsidR="009C50B4" w:rsidRPr="00CF2834" w:rsidRDefault="009C50B4" w:rsidP="0093173A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 xml:space="preserve">Unknown Vocabulary: </w:t>
            </w:r>
          </w:p>
          <w:p w14:paraId="6E8DFB7C" w14:textId="00517CE0" w:rsidR="00A36E82" w:rsidRPr="00CF2834" w:rsidRDefault="009C50B4" w:rsidP="0093173A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 xml:space="preserve">Select words that might not be in students’ oral vocabulary that teacher will need to explain or define during the reading, in student-friendly terms. </w:t>
            </w:r>
            <w:r w:rsidRPr="00CF2834">
              <w:rPr>
                <w:rFonts w:ascii="Cambria" w:hAnsi="Cambria"/>
                <w:b/>
                <w:i/>
                <w:iCs/>
              </w:rPr>
              <w:t>Make sure the word(s) selected is/are not supported through context clues within the text (print and graphics) and are necessary for comprehension of the text.</w:t>
            </w:r>
          </w:p>
          <w:p w14:paraId="4C255138" w14:textId="6FAD832B" w:rsidR="00A36E82" w:rsidRPr="00CF2834" w:rsidRDefault="00A36E82" w:rsidP="00A36E82">
            <w:pPr>
              <w:jc w:val="both"/>
              <w:rPr>
                <w:rFonts w:ascii="Cambria" w:hAnsi="Cambria"/>
                <w:bCs/>
              </w:rPr>
            </w:pPr>
          </w:p>
        </w:tc>
      </w:tr>
      <w:tr w:rsidR="009C50B4" w:rsidRPr="00CF2834" w14:paraId="65AD0CFB" w14:textId="77777777" w:rsidTr="054F23FC">
        <w:tc>
          <w:tcPr>
            <w:tcW w:w="10790" w:type="dxa"/>
            <w:gridSpan w:val="2"/>
          </w:tcPr>
          <w:p w14:paraId="0380316C" w14:textId="35F63A37" w:rsidR="009C50B4" w:rsidRPr="00CF2834" w:rsidRDefault="009C50B4" w:rsidP="009C50B4">
            <w:pPr>
              <w:jc w:val="center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 xml:space="preserve">Session </w:t>
            </w:r>
            <w:r w:rsidR="00F525E7" w:rsidRPr="00CF2834">
              <w:rPr>
                <w:rFonts w:ascii="Cambria" w:hAnsi="Cambria"/>
                <w:b/>
              </w:rPr>
              <w:t>___</w:t>
            </w:r>
          </w:p>
          <w:p w14:paraId="6A58AC7A" w14:textId="723248A8" w:rsidR="00F51C6C" w:rsidRPr="00CF2834" w:rsidRDefault="009C50B4" w:rsidP="0093173A">
            <w:pPr>
              <w:jc w:val="both"/>
              <w:rPr>
                <w:rStyle w:val="normaltextrun"/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Introduction of the Text</w:t>
            </w:r>
            <w:r w:rsidR="00F525E7" w:rsidRPr="00CF2834">
              <w:rPr>
                <w:rFonts w:ascii="Cambria" w:hAnsi="Cambria"/>
                <w:b/>
              </w:rPr>
              <w:t xml:space="preserve"> (to include the following):</w:t>
            </w:r>
            <w:r w:rsidR="00D2550D" w:rsidRPr="00CF2834">
              <w:rPr>
                <w:rFonts w:ascii="Cambria" w:hAnsi="Cambria"/>
                <w:b/>
              </w:rPr>
              <w:t xml:space="preserve"> </w:t>
            </w:r>
            <w:r w:rsidRPr="00CF2834">
              <w:rPr>
                <w:rFonts w:ascii="Cambria" w:hAnsi="Cambria"/>
                <w:b/>
              </w:rPr>
              <w:t>Title, Author, Illustrator, Genre, Title Page</w:t>
            </w:r>
            <w:r w:rsidR="00F51C6C" w:rsidRPr="00CF2834">
              <w:rPr>
                <w:rStyle w:val="normaltextrun"/>
                <w:rFonts w:ascii="Cambria" w:hAnsi="Cambria"/>
                <w:i/>
                <w:color w:val="000000"/>
                <w:shd w:val="clear" w:color="auto" w:fill="FFFFFF"/>
              </w:rPr>
              <w:t xml:space="preserve"> </w:t>
            </w:r>
          </w:p>
          <w:p w14:paraId="0E652E2B" w14:textId="28EC8421" w:rsidR="009C50B4" w:rsidRDefault="009C50B4" w:rsidP="0093173A">
            <w:pPr>
              <w:jc w:val="both"/>
              <w:rPr>
                <w:rFonts w:ascii="Cambria" w:hAnsi="Cambria"/>
                <w:b/>
              </w:rPr>
            </w:pPr>
          </w:p>
          <w:p w14:paraId="1495AE26" w14:textId="77777777" w:rsidR="005D144B" w:rsidRPr="00CF2834" w:rsidRDefault="005D144B" w:rsidP="0093173A">
            <w:pPr>
              <w:jc w:val="both"/>
              <w:rPr>
                <w:rFonts w:ascii="Cambria" w:hAnsi="Cambria"/>
                <w:b/>
              </w:rPr>
            </w:pPr>
          </w:p>
          <w:p w14:paraId="5AA8D9D2" w14:textId="76FAF1AE" w:rsidR="009C50B4" w:rsidRPr="00CF2834" w:rsidRDefault="009C50B4" w:rsidP="0093173A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 xml:space="preserve">Additional </w:t>
            </w:r>
            <w:r w:rsidR="00D2550D" w:rsidRPr="00CF2834">
              <w:rPr>
                <w:rFonts w:ascii="Cambria" w:hAnsi="Cambria"/>
                <w:b/>
              </w:rPr>
              <w:t>F</w:t>
            </w:r>
            <w:r w:rsidRPr="00CF2834">
              <w:rPr>
                <w:rFonts w:ascii="Cambria" w:hAnsi="Cambria"/>
                <w:b/>
              </w:rPr>
              <w:t xml:space="preserve">eatures </w:t>
            </w:r>
            <w:r w:rsidR="00D2550D" w:rsidRPr="00CF2834">
              <w:rPr>
                <w:rFonts w:ascii="Cambria" w:hAnsi="Cambria"/>
                <w:b/>
              </w:rPr>
              <w:t>S</w:t>
            </w:r>
            <w:r w:rsidRPr="00CF2834">
              <w:rPr>
                <w:rFonts w:ascii="Cambria" w:hAnsi="Cambria"/>
                <w:b/>
              </w:rPr>
              <w:t xml:space="preserve">pecific to this </w:t>
            </w:r>
            <w:r w:rsidR="00D2550D" w:rsidRPr="00CF2834">
              <w:rPr>
                <w:rFonts w:ascii="Cambria" w:hAnsi="Cambria"/>
                <w:b/>
              </w:rPr>
              <w:t>T</w:t>
            </w:r>
            <w:r w:rsidRPr="00CF2834">
              <w:rPr>
                <w:rFonts w:ascii="Cambria" w:hAnsi="Cambria"/>
                <w:b/>
              </w:rPr>
              <w:t>ext:</w:t>
            </w:r>
          </w:p>
          <w:p w14:paraId="0C68A09B" w14:textId="4D469835" w:rsidR="00A80AEF" w:rsidRDefault="00A80AEF" w:rsidP="0093173A">
            <w:pPr>
              <w:jc w:val="both"/>
              <w:rPr>
                <w:rFonts w:ascii="Cambria" w:hAnsi="Cambria"/>
                <w:b/>
              </w:rPr>
            </w:pPr>
          </w:p>
          <w:p w14:paraId="284A1022" w14:textId="77777777" w:rsidR="005D144B" w:rsidRPr="00CF2834" w:rsidRDefault="005D144B" w:rsidP="0093173A">
            <w:pPr>
              <w:jc w:val="both"/>
              <w:rPr>
                <w:rFonts w:ascii="Cambria" w:hAnsi="Cambria"/>
                <w:b/>
              </w:rPr>
            </w:pPr>
          </w:p>
          <w:p w14:paraId="29CB1CC3" w14:textId="5BEADCCD" w:rsidR="00A80AEF" w:rsidRPr="00CF2834" w:rsidRDefault="00A80AEF" w:rsidP="0093173A">
            <w:pPr>
              <w:jc w:val="both"/>
              <w:rPr>
                <w:rFonts w:ascii="Cambria" w:hAnsi="Cambria"/>
                <w:i/>
              </w:rPr>
            </w:pPr>
            <w:r w:rsidRPr="00CF2834">
              <w:rPr>
                <w:rFonts w:ascii="Cambria" w:hAnsi="Cambria"/>
                <w:b/>
              </w:rPr>
              <w:t>Gist Statement (brief engaging statement about the text):</w:t>
            </w:r>
          </w:p>
          <w:p w14:paraId="1AB941F4" w14:textId="3C59AAE3" w:rsidR="009C50B4" w:rsidRDefault="009C50B4" w:rsidP="0093173A">
            <w:pPr>
              <w:jc w:val="both"/>
              <w:rPr>
                <w:rFonts w:ascii="Cambria" w:hAnsi="Cambria"/>
                <w:b/>
              </w:rPr>
            </w:pPr>
          </w:p>
          <w:p w14:paraId="56FDABB1" w14:textId="77777777" w:rsidR="005D144B" w:rsidRPr="00CF2834" w:rsidRDefault="005D144B" w:rsidP="0093173A">
            <w:pPr>
              <w:jc w:val="both"/>
              <w:rPr>
                <w:rFonts w:ascii="Cambria" w:hAnsi="Cambria"/>
                <w:b/>
              </w:rPr>
            </w:pPr>
          </w:p>
          <w:p w14:paraId="072840DA" w14:textId="77777777" w:rsidR="00C54B48" w:rsidRPr="00CF2834" w:rsidRDefault="00C54B48" w:rsidP="00C54B48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  <w:b/>
              </w:rPr>
              <w:t>Model During Reading of the Text (stop at significant point(s) in the text to model</w:t>
            </w:r>
            <w:r>
              <w:rPr>
                <w:rFonts w:ascii="Cambria" w:hAnsi="Cambria"/>
                <w:b/>
              </w:rPr>
              <w:t>)</w:t>
            </w:r>
            <w:r w:rsidRPr="00CF2834">
              <w:rPr>
                <w:rFonts w:ascii="Cambria" w:hAnsi="Cambria"/>
                <w:b/>
              </w:rPr>
              <w:t>:</w:t>
            </w:r>
          </w:p>
          <w:p w14:paraId="2E4CA3FE" w14:textId="77777777" w:rsidR="00C54B48" w:rsidRPr="00CF2834" w:rsidRDefault="00C54B48" w:rsidP="00C54B48">
            <w:pPr>
              <w:jc w:val="both"/>
              <w:rPr>
                <w:rFonts w:ascii="Cambria" w:hAnsi="Cambria"/>
                <w:i/>
              </w:rPr>
            </w:pPr>
            <w:r w:rsidRPr="00CF2834">
              <w:rPr>
                <w:rFonts w:ascii="Cambria" w:hAnsi="Cambria"/>
                <w:i/>
              </w:rPr>
              <w:t xml:space="preserve">Indicate stopping point(s) and provide brief description(s) of the think aloud. This may be reflected through the </w:t>
            </w:r>
            <w:r>
              <w:rPr>
                <w:rFonts w:ascii="Cambria" w:hAnsi="Cambria"/>
                <w:i/>
              </w:rPr>
              <w:t xml:space="preserve">collaborative </w:t>
            </w:r>
            <w:r w:rsidRPr="00CF2834">
              <w:rPr>
                <w:rFonts w:ascii="Cambria" w:hAnsi="Cambria"/>
                <w:i/>
              </w:rPr>
              <w:t>creation of an anchor chart. This process should be repeated</w:t>
            </w:r>
            <w:r>
              <w:rPr>
                <w:rFonts w:ascii="Cambria" w:hAnsi="Cambria"/>
                <w:i/>
              </w:rPr>
              <w:t xml:space="preserve"> during additional sessions,</w:t>
            </w:r>
            <w:r w:rsidRPr="00CF2834">
              <w:rPr>
                <w:rFonts w:ascii="Cambria" w:hAnsi="Cambria"/>
                <w:i/>
              </w:rPr>
              <w:t xml:space="preserve"> based on the number of opportunities within the text.</w:t>
            </w:r>
          </w:p>
          <w:p w14:paraId="2E722566" w14:textId="77777777" w:rsidR="00D81D13" w:rsidRPr="00CF2834" w:rsidRDefault="00D81D13" w:rsidP="0093173A">
            <w:pPr>
              <w:jc w:val="both"/>
              <w:rPr>
                <w:rFonts w:ascii="Cambria" w:hAnsi="Cambria"/>
                <w:b/>
              </w:rPr>
            </w:pPr>
          </w:p>
          <w:p w14:paraId="51D1DC0E" w14:textId="79077721" w:rsidR="009C50B4" w:rsidRPr="00CF2834" w:rsidRDefault="009C50B4" w:rsidP="0093173A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Active Engagement During Reading of the Text:</w:t>
            </w:r>
            <w:r w:rsidRPr="00CF2834">
              <w:rPr>
                <w:rFonts w:ascii="Cambria" w:hAnsi="Cambria"/>
                <w:b/>
                <w:strike/>
              </w:rPr>
              <w:t xml:space="preserve"> </w:t>
            </w:r>
          </w:p>
          <w:p w14:paraId="7AF3D4BB" w14:textId="77777777" w:rsidR="009C50B4" w:rsidRPr="00CF2834" w:rsidRDefault="009C50B4" w:rsidP="0093173A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Based on teacher observation, students’ responses during active engagement may signal that additional modeled support is required prior to continuing active engagement.</w:t>
            </w:r>
          </w:p>
          <w:p w14:paraId="77350D5B" w14:textId="77777777" w:rsidR="009C50B4" w:rsidRPr="00CF2834" w:rsidRDefault="009C50B4" w:rsidP="0093173A">
            <w:pPr>
              <w:jc w:val="both"/>
              <w:rPr>
                <w:rFonts w:ascii="Cambria" w:hAnsi="Cambria"/>
              </w:rPr>
            </w:pPr>
          </w:p>
          <w:p w14:paraId="494E4CFA" w14:textId="77777777" w:rsidR="009C50B4" w:rsidRPr="00CF2834" w:rsidRDefault="009C50B4" w:rsidP="0093173A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 xml:space="preserve">Indicate stopping point(s) and provide brief description(s) of the active engagement opportunity(ies) in which students will participate. Select active engagement tool teacher will utilize: </w:t>
            </w:r>
          </w:p>
          <w:p w14:paraId="5BEBE278" w14:textId="7241808F" w:rsidR="009C50B4" w:rsidRPr="00CF2834" w:rsidRDefault="00C01860" w:rsidP="0093173A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__</w:t>
            </w:r>
            <w:r w:rsidR="009C50B4" w:rsidRPr="00CF2834">
              <w:rPr>
                <w:rFonts w:ascii="Cambria" w:hAnsi="Cambria"/>
                <w:i/>
                <w:iCs/>
              </w:rPr>
              <w:t xml:space="preserve"> Turn and Talk</w:t>
            </w:r>
            <w:r w:rsidR="00293250" w:rsidRPr="00CF2834">
              <w:rPr>
                <w:rFonts w:ascii="Cambria" w:hAnsi="Cambria"/>
                <w:i/>
                <w:iCs/>
              </w:rPr>
              <w:t xml:space="preserve">  </w:t>
            </w:r>
            <w:r w:rsidR="009C50B4" w:rsidRPr="00CF2834">
              <w:rPr>
                <w:rFonts w:ascii="Cambria" w:hAnsi="Cambria"/>
                <w:i/>
                <w:iCs/>
              </w:rPr>
              <w:t xml:space="preserve">                __ Stop and Jot    </w:t>
            </w:r>
            <w:r w:rsidR="00293250" w:rsidRPr="00CF2834">
              <w:rPr>
                <w:rFonts w:ascii="Cambria" w:hAnsi="Cambria"/>
                <w:i/>
                <w:iCs/>
              </w:rPr>
              <w:t xml:space="preserve">  </w:t>
            </w:r>
            <w:r w:rsidR="009C50B4" w:rsidRPr="00CF2834">
              <w:rPr>
                <w:rFonts w:ascii="Cambria" w:hAnsi="Cambria"/>
                <w:i/>
                <w:iCs/>
              </w:rPr>
              <w:t xml:space="preserve">            __ Collaborative Task    </w:t>
            </w:r>
            <w:r w:rsidR="00293250" w:rsidRPr="00CF2834">
              <w:rPr>
                <w:rFonts w:ascii="Cambria" w:hAnsi="Cambria"/>
                <w:i/>
                <w:iCs/>
              </w:rPr>
              <w:t xml:space="preserve">  </w:t>
            </w:r>
            <w:r w:rsidR="009C50B4" w:rsidRPr="00CF2834">
              <w:rPr>
                <w:rFonts w:ascii="Cambria" w:hAnsi="Cambria"/>
                <w:i/>
                <w:iCs/>
              </w:rPr>
              <w:t xml:space="preserve">         </w:t>
            </w:r>
            <w:r w:rsidR="00293250" w:rsidRPr="00CF2834">
              <w:rPr>
                <w:rFonts w:ascii="Cambria" w:hAnsi="Cambria"/>
                <w:i/>
                <w:iCs/>
              </w:rPr>
              <w:t xml:space="preserve">   </w:t>
            </w:r>
            <w:r w:rsidR="009C50B4" w:rsidRPr="00CF2834">
              <w:rPr>
                <w:rFonts w:ascii="Cambria" w:hAnsi="Cambria"/>
                <w:i/>
                <w:iCs/>
              </w:rPr>
              <w:t xml:space="preserve"> __ Other __________________</w:t>
            </w:r>
          </w:p>
          <w:p w14:paraId="26C4C3FB" w14:textId="77777777" w:rsidR="002B0186" w:rsidRDefault="002B0186" w:rsidP="0093173A">
            <w:pPr>
              <w:jc w:val="both"/>
              <w:rPr>
                <w:rStyle w:val="normaltextrun"/>
                <w:rFonts w:ascii="Cambria" w:hAnsi="Cambria" w:cs="Segoe UI"/>
              </w:rPr>
            </w:pPr>
          </w:p>
          <w:p w14:paraId="41FCC693" w14:textId="77777777" w:rsidR="009A56A4" w:rsidRPr="00CF2834" w:rsidRDefault="009A56A4" w:rsidP="009A56A4">
            <w:pPr>
              <w:jc w:val="center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Session ___</w:t>
            </w:r>
          </w:p>
          <w:p w14:paraId="58A67F12" w14:textId="77777777" w:rsidR="00C54B48" w:rsidRPr="00CF2834" w:rsidRDefault="00C54B48" w:rsidP="00C54B48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  <w:b/>
              </w:rPr>
              <w:t>Model During Reading of the Text (stop at significant point(s) in the text to model</w:t>
            </w:r>
            <w:r>
              <w:rPr>
                <w:rFonts w:ascii="Cambria" w:hAnsi="Cambria"/>
                <w:b/>
              </w:rPr>
              <w:t>)</w:t>
            </w:r>
            <w:r w:rsidRPr="00CF2834">
              <w:rPr>
                <w:rFonts w:ascii="Cambria" w:hAnsi="Cambria"/>
                <w:b/>
              </w:rPr>
              <w:t>:</w:t>
            </w:r>
          </w:p>
          <w:p w14:paraId="0665B6F3" w14:textId="77777777" w:rsidR="00C54B48" w:rsidRPr="00CF2834" w:rsidRDefault="00C54B48" w:rsidP="00C54B48">
            <w:pPr>
              <w:jc w:val="both"/>
              <w:rPr>
                <w:rFonts w:ascii="Cambria" w:hAnsi="Cambria"/>
                <w:i/>
              </w:rPr>
            </w:pPr>
            <w:r w:rsidRPr="00CF2834">
              <w:rPr>
                <w:rFonts w:ascii="Cambria" w:hAnsi="Cambria"/>
                <w:i/>
              </w:rPr>
              <w:t xml:space="preserve">Indicate stopping point(s) and provide brief description(s) of the think aloud. This may be reflected through the </w:t>
            </w:r>
            <w:r>
              <w:rPr>
                <w:rFonts w:ascii="Cambria" w:hAnsi="Cambria"/>
                <w:i/>
              </w:rPr>
              <w:t xml:space="preserve">collaborative </w:t>
            </w:r>
            <w:r w:rsidRPr="00CF2834">
              <w:rPr>
                <w:rFonts w:ascii="Cambria" w:hAnsi="Cambria"/>
                <w:i/>
              </w:rPr>
              <w:t>creation of an anchor chart. This process should be repeated</w:t>
            </w:r>
            <w:r>
              <w:rPr>
                <w:rFonts w:ascii="Cambria" w:hAnsi="Cambria"/>
                <w:i/>
              </w:rPr>
              <w:t xml:space="preserve"> during additional sessions,</w:t>
            </w:r>
            <w:r w:rsidRPr="00CF2834">
              <w:rPr>
                <w:rFonts w:ascii="Cambria" w:hAnsi="Cambria"/>
                <w:i/>
              </w:rPr>
              <w:t xml:space="preserve"> based on the number of opportunities within the text.</w:t>
            </w:r>
          </w:p>
          <w:p w14:paraId="2664E09C" w14:textId="77777777" w:rsidR="007955DD" w:rsidRPr="00CF2834" w:rsidRDefault="007955DD" w:rsidP="007955DD">
            <w:pPr>
              <w:jc w:val="both"/>
              <w:rPr>
                <w:rFonts w:ascii="Cambria" w:hAnsi="Cambria"/>
                <w:b/>
              </w:rPr>
            </w:pPr>
          </w:p>
          <w:p w14:paraId="07098FBA" w14:textId="77777777" w:rsidR="007955DD" w:rsidRPr="00CF2834" w:rsidRDefault="007955DD" w:rsidP="007955D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Active Engagement During Reading of the Text:</w:t>
            </w:r>
            <w:r w:rsidRPr="00CF2834">
              <w:rPr>
                <w:rFonts w:ascii="Cambria" w:hAnsi="Cambria"/>
                <w:b/>
                <w:strike/>
              </w:rPr>
              <w:t xml:space="preserve"> </w:t>
            </w:r>
          </w:p>
          <w:p w14:paraId="14DB77E3" w14:textId="77777777" w:rsidR="007955DD" w:rsidRPr="00CF2834" w:rsidRDefault="007955DD" w:rsidP="007955DD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Based on teacher observation, students’ responses during active engagement may signal that additional modeled support is required prior to continuing active engagement.</w:t>
            </w:r>
          </w:p>
          <w:p w14:paraId="42930479" w14:textId="77777777" w:rsidR="007955DD" w:rsidRPr="00CF2834" w:rsidRDefault="007955DD" w:rsidP="007955DD">
            <w:pPr>
              <w:jc w:val="both"/>
              <w:rPr>
                <w:rFonts w:ascii="Cambria" w:hAnsi="Cambria"/>
              </w:rPr>
            </w:pPr>
          </w:p>
          <w:p w14:paraId="1D1F7AF6" w14:textId="77777777" w:rsidR="007955DD" w:rsidRPr="00CF2834" w:rsidRDefault="007955DD" w:rsidP="007955DD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 xml:space="preserve">Indicate stopping point(s) and provide brief description(s) of the active engagement opportunity(ies) in which students will participate. Select active engagement tool teacher will utilize: </w:t>
            </w:r>
          </w:p>
          <w:p w14:paraId="5BBD0383" w14:textId="77777777" w:rsidR="007955DD" w:rsidRPr="00CF2834" w:rsidRDefault="007955DD" w:rsidP="007955DD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__ Turn and Talk                  __ Stop and Jot                  __ Collaborative Task                   __ Other __________________</w:t>
            </w:r>
          </w:p>
          <w:p w14:paraId="3E0D2392" w14:textId="77777777" w:rsidR="002B0186" w:rsidRDefault="002B0186" w:rsidP="0093173A">
            <w:pPr>
              <w:jc w:val="both"/>
              <w:rPr>
                <w:rStyle w:val="normaltextrun"/>
                <w:rFonts w:ascii="Cambria" w:hAnsi="Cambria" w:cs="Segoe UI"/>
              </w:rPr>
            </w:pPr>
          </w:p>
          <w:p w14:paraId="7587ACB7" w14:textId="5DD46595" w:rsidR="009A56A4" w:rsidRPr="009A56A4" w:rsidRDefault="009A56A4" w:rsidP="009A56A4">
            <w:pPr>
              <w:jc w:val="center"/>
              <w:rPr>
                <w:rStyle w:val="normaltextrun"/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Session ___</w:t>
            </w:r>
          </w:p>
          <w:p w14:paraId="3568750F" w14:textId="77777777" w:rsidR="00801837" w:rsidRPr="00CF2834" w:rsidRDefault="00801837" w:rsidP="00801837">
            <w:pPr>
              <w:jc w:val="both"/>
              <w:rPr>
                <w:rFonts w:ascii="Cambria" w:hAnsi="Cambria"/>
              </w:rPr>
            </w:pPr>
            <w:r w:rsidRPr="00CF2834">
              <w:rPr>
                <w:rFonts w:ascii="Cambria" w:hAnsi="Cambria"/>
                <w:b/>
              </w:rPr>
              <w:t>Model During Reading of the Text (stop at significant point(s) in the text to model</w:t>
            </w:r>
            <w:r>
              <w:rPr>
                <w:rFonts w:ascii="Cambria" w:hAnsi="Cambria"/>
                <w:b/>
              </w:rPr>
              <w:t>)</w:t>
            </w:r>
            <w:r w:rsidRPr="00CF2834">
              <w:rPr>
                <w:rFonts w:ascii="Cambria" w:hAnsi="Cambria"/>
                <w:b/>
              </w:rPr>
              <w:t>:</w:t>
            </w:r>
          </w:p>
          <w:p w14:paraId="035F9AF7" w14:textId="3E0E06AE" w:rsidR="00801837" w:rsidRPr="00CF2834" w:rsidRDefault="00801837" w:rsidP="00801837">
            <w:pPr>
              <w:jc w:val="both"/>
              <w:rPr>
                <w:rFonts w:ascii="Cambria" w:hAnsi="Cambria"/>
                <w:i/>
              </w:rPr>
            </w:pPr>
            <w:r w:rsidRPr="00CF2834">
              <w:rPr>
                <w:rFonts w:ascii="Cambria" w:hAnsi="Cambria"/>
                <w:i/>
              </w:rPr>
              <w:t xml:space="preserve">Indicate stopping point(s) and provide brief description(s) of the think aloud. This may be reflected through the </w:t>
            </w:r>
            <w:r>
              <w:rPr>
                <w:rFonts w:ascii="Cambria" w:hAnsi="Cambria"/>
                <w:i/>
              </w:rPr>
              <w:t xml:space="preserve">collaborative </w:t>
            </w:r>
            <w:r w:rsidRPr="00CF2834">
              <w:rPr>
                <w:rFonts w:ascii="Cambria" w:hAnsi="Cambria"/>
                <w:i/>
              </w:rPr>
              <w:t>creation of an anchor chart. This process should be repeated</w:t>
            </w:r>
            <w:r w:rsidR="00C54B48">
              <w:rPr>
                <w:rFonts w:ascii="Cambria" w:hAnsi="Cambria"/>
                <w:i/>
              </w:rPr>
              <w:t xml:space="preserve"> during additional sessions,</w:t>
            </w:r>
            <w:r w:rsidRPr="00CF2834">
              <w:rPr>
                <w:rFonts w:ascii="Cambria" w:hAnsi="Cambria"/>
                <w:i/>
              </w:rPr>
              <w:t xml:space="preserve"> based on the number of opportunities within the text.</w:t>
            </w:r>
          </w:p>
          <w:p w14:paraId="367042E3" w14:textId="77777777" w:rsidR="007955DD" w:rsidRPr="00CF2834" w:rsidRDefault="007955DD" w:rsidP="007955DD">
            <w:pPr>
              <w:jc w:val="both"/>
              <w:rPr>
                <w:rFonts w:ascii="Cambria" w:hAnsi="Cambria"/>
                <w:b/>
              </w:rPr>
            </w:pPr>
          </w:p>
          <w:p w14:paraId="0BC2CAF8" w14:textId="77777777" w:rsidR="007955DD" w:rsidRPr="00CF2834" w:rsidRDefault="007955DD" w:rsidP="007955D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Active Engagement During Reading of the Text:</w:t>
            </w:r>
            <w:r w:rsidRPr="00CF2834">
              <w:rPr>
                <w:rFonts w:ascii="Cambria" w:hAnsi="Cambria"/>
                <w:b/>
                <w:strike/>
              </w:rPr>
              <w:t xml:space="preserve"> </w:t>
            </w:r>
          </w:p>
          <w:p w14:paraId="4AF15107" w14:textId="77777777" w:rsidR="007955DD" w:rsidRPr="00CF2834" w:rsidRDefault="007955DD" w:rsidP="007955DD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Based on teacher observation, students’ responses during active engagement may signal that additional modeled support is required prior to continuing active engagement.</w:t>
            </w:r>
          </w:p>
          <w:p w14:paraId="26BE5794" w14:textId="77777777" w:rsidR="007955DD" w:rsidRPr="00CF2834" w:rsidRDefault="007955DD" w:rsidP="007955DD">
            <w:pPr>
              <w:jc w:val="both"/>
              <w:rPr>
                <w:rFonts w:ascii="Cambria" w:hAnsi="Cambria"/>
              </w:rPr>
            </w:pPr>
          </w:p>
          <w:p w14:paraId="6F32A107" w14:textId="77777777" w:rsidR="007955DD" w:rsidRPr="00CF2834" w:rsidRDefault="007955DD" w:rsidP="007955DD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 xml:space="preserve">Indicate stopping point(s) and provide brief description(s) of the active engagement opportunity(ies) in which students will participate. Select active engagement tool teacher will utilize: </w:t>
            </w:r>
          </w:p>
          <w:p w14:paraId="045888B3" w14:textId="77777777" w:rsidR="007955DD" w:rsidRPr="00CF2834" w:rsidRDefault="007955DD" w:rsidP="007955DD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__ Turn and Talk                  __ Stop and Jot                  __ Collaborative Task                   __ Other __________________</w:t>
            </w:r>
          </w:p>
          <w:p w14:paraId="5380F7F1" w14:textId="77777777" w:rsidR="007955DD" w:rsidRDefault="007955DD" w:rsidP="007955DD">
            <w:pPr>
              <w:jc w:val="both"/>
              <w:rPr>
                <w:rStyle w:val="normaltextrun"/>
                <w:rFonts w:ascii="Cambria" w:hAnsi="Cambria" w:cs="Segoe UI"/>
              </w:rPr>
            </w:pPr>
          </w:p>
          <w:p w14:paraId="15B4CC3E" w14:textId="77777777" w:rsidR="007955DD" w:rsidRPr="00CF2834" w:rsidRDefault="007955DD" w:rsidP="007955DD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 xml:space="preserve">Summarize Learning Through Discussion of the Text:  </w:t>
            </w:r>
          </w:p>
          <w:p w14:paraId="540C2B62" w14:textId="77777777" w:rsidR="007955DD" w:rsidRPr="00CF2834" w:rsidRDefault="007955DD" w:rsidP="007955DD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Indicate how students will make connections that support comprehension.</w:t>
            </w:r>
          </w:p>
          <w:p w14:paraId="7CB9331E" w14:textId="77777777" w:rsidR="00120113" w:rsidRPr="00CF2834" w:rsidRDefault="00120113" w:rsidP="0093173A">
            <w:pPr>
              <w:jc w:val="both"/>
              <w:rPr>
                <w:rFonts w:ascii="Cambria" w:hAnsi="Cambria"/>
              </w:rPr>
            </w:pPr>
          </w:p>
          <w:p w14:paraId="1C909083" w14:textId="54377AF5" w:rsidR="009C50B4" w:rsidRPr="00CF2834" w:rsidRDefault="009C50B4" w:rsidP="0093173A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 xml:space="preserve">Close the </w:t>
            </w:r>
            <w:r w:rsidR="00B716AC" w:rsidRPr="00CF2834">
              <w:rPr>
                <w:rFonts w:ascii="Cambria" w:hAnsi="Cambria"/>
                <w:b/>
              </w:rPr>
              <w:t>S</w:t>
            </w:r>
            <w:r w:rsidRPr="00CF2834">
              <w:rPr>
                <w:rFonts w:ascii="Cambria" w:hAnsi="Cambria"/>
                <w:b/>
              </w:rPr>
              <w:t xml:space="preserve">ession with a </w:t>
            </w:r>
            <w:r w:rsidR="00B716AC" w:rsidRPr="00CF2834">
              <w:rPr>
                <w:rFonts w:ascii="Cambria" w:hAnsi="Cambria"/>
                <w:b/>
              </w:rPr>
              <w:t>T</w:t>
            </w:r>
            <w:r w:rsidRPr="00CF2834">
              <w:rPr>
                <w:rFonts w:ascii="Cambria" w:hAnsi="Cambria"/>
                <w:b/>
              </w:rPr>
              <w:t xml:space="preserve">eaching </w:t>
            </w:r>
            <w:r w:rsidR="00B716AC" w:rsidRPr="00CF2834">
              <w:rPr>
                <w:rFonts w:ascii="Cambria" w:hAnsi="Cambria"/>
                <w:b/>
              </w:rPr>
              <w:t>P</w:t>
            </w:r>
            <w:r w:rsidRPr="00CF2834">
              <w:rPr>
                <w:rFonts w:ascii="Cambria" w:hAnsi="Cambria"/>
                <w:b/>
              </w:rPr>
              <w:t>oint:</w:t>
            </w:r>
          </w:p>
          <w:p w14:paraId="3471FFA6" w14:textId="618CF2F6" w:rsidR="00770C32" w:rsidRDefault="009C50B4" w:rsidP="00C54B48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</w:rPr>
              <w:t xml:space="preserve">Say: </w:t>
            </w:r>
            <w:r w:rsidR="00C54B48">
              <w:rPr>
                <w:rFonts w:ascii="Cambria" w:hAnsi="Cambria"/>
                <w:i/>
                <w:iCs/>
              </w:rPr>
              <w:t>In this text and other texts, g</w:t>
            </w:r>
            <w:r w:rsidRPr="00CF2834">
              <w:rPr>
                <w:rFonts w:ascii="Cambria" w:hAnsi="Cambria"/>
                <w:i/>
                <w:iCs/>
              </w:rPr>
              <w:t>ood readers</w:t>
            </w:r>
            <w:r w:rsidR="00C54B48">
              <w:rPr>
                <w:rFonts w:ascii="Cambria" w:hAnsi="Cambria"/>
                <w:i/>
                <w:iCs/>
              </w:rPr>
              <w:t xml:space="preserve"> __________________________________________________________________</w:t>
            </w:r>
            <w:r w:rsidRPr="00CF2834">
              <w:rPr>
                <w:rFonts w:ascii="Cambria" w:hAnsi="Cambria"/>
                <w:i/>
                <w:iCs/>
              </w:rPr>
              <w:t xml:space="preserve"> </w:t>
            </w:r>
            <w:r w:rsidR="00C54B48">
              <w:rPr>
                <w:rFonts w:ascii="Cambria" w:hAnsi="Cambria"/>
                <w:i/>
                <w:iCs/>
              </w:rPr>
              <w:t xml:space="preserve">(identify one or more </w:t>
            </w:r>
            <w:r w:rsidR="000117BB">
              <w:rPr>
                <w:rFonts w:ascii="Cambria" w:hAnsi="Cambria"/>
                <w:i/>
                <w:iCs/>
              </w:rPr>
              <w:t xml:space="preserve">effective reading </w:t>
            </w:r>
            <w:r w:rsidR="00C54B48">
              <w:rPr>
                <w:rFonts w:ascii="Cambria" w:hAnsi="Cambria"/>
                <w:i/>
                <w:iCs/>
              </w:rPr>
              <w:t>behaviors good readers exhibit).</w:t>
            </w:r>
          </w:p>
          <w:p w14:paraId="15511583" w14:textId="77777777" w:rsidR="00C54B48" w:rsidRDefault="00C54B48" w:rsidP="00C54B48">
            <w:pPr>
              <w:jc w:val="both"/>
              <w:rPr>
                <w:rFonts w:ascii="Cambria" w:hAnsi="Cambria"/>
              </w:rPr>
            </w:pPr>
          </w:p>
          <w:p w14:paraId="5F694C9D" w14:textId="7751B9C8" w:rsidR="000117BB" w:rsidRPr="00CF2834" w:rsidRDefault="000117BB" w:rsidP="00C54B48">
            <w:pPr>
              <w:jc w:val="both"/>
              <w:rPr>
                <w:rFonts w:ascii="Cambria" w:hAnsi="Cambria"/>
              </w:rPr>
            </w:pPr>
          </w:p>
        </w:tc>
      </w:tr>
      <w:tr w:rsidR="009C50B4" w:rsidRPr="00CF2834" w14:paraId="099B673F" w14:textId="77777777" w:rsidTr="054F23FC">
        <w:tc>
          <w:tcPr>
            <w:tcW w:w="10790" w:type="dxa"/>
            <w:gridSpan w:val="2"/>
          </w:tcPr>
          <w:p w14:paraId="31CC7646" w14:textId="77777777" w:rsidR="009C50B4" w:rsidRPr="00CF2834" w:rsidRDefault="009C50B4" w:rsidP="0093173A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lastRenderedPageBreak/>
              <w:t>Apply to Independent Practice (independently and/or collaboratively with peers):</w:t>
            </w:r>
          </w:p>
          <w:p w14:paraId="7B332E2E" w14:textId="31BB22EC" w:rsidR="00C01860" w:rsidRDefault="009C50B4" w:rsidP="00C01860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Indicate how students will apply learning through application to other texts during independent practice (e.g., may include reading, writing, word work, and listening practices).</w:t>
            </w:r>
          </w:p>
          <w:p w14:paraId="73377326" w14:textId="77777777" w:rsidR="000F1C61" w:rsidRPr="00CF2834" w:rsidRDefault="000F1C61" w:rsidP="00C01860">
            <w:pPr>
              <w:jc w:val="both"/>
              <w:rPr>
                <w:rFonts w:ascii="Cambria" w:hAnsi="Cambria"/>
                <w:i/>
                <w:iCs/>
              </w:rPr>
            </w:pPr>
          </w:p>
          <w:p w14:paraId="3AD7F33E" w14:textId="28E88496" w:rsidR="00770C32" w:rsidRPr="00CF2834" w:rsidRDefault="00770C32" w:rsidP="00C01860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9C50B4" w:rsidRPr="00CF2834" w14:paraId="65FB1B54" w14:textId="77777777" w:rsidTr="054F23FC">
        <w:tc>
          <w:tcPr>
            <w:tcW w:w="10790" w:type="dxa"/>
            <w:gridSpan w:val="2"/>
          </w:tcPr>
          <w:p w14:paraId="0A9B8981" w14:textId="77777777" w:rsidR="009C50B4" w:rsidRPr="00CF2834" w:rsidRDefault="009C50B4" w:rsidP="0093173A">
            <w:pPr>
              <w:jc w:val="both"/>
              <w:rPr>
                <w:rFonts w:ascii="Cambria" w:hAnsi="Cambria"/>
                <w:b/>
              </w:rPr>
            </w:pPr>
            <w:r w:rsidRPr="00CF2834">
              <w:rPr>
                <w:rFonts w:ascii="Cambria" w:hAnsi="Cambria"/>
                <w:b/>
              </w:rPr>
              <w:t>Extend the Lesson:</w:t>
            </w:r>
          </w:p>
          <w:p w14:paraId="37EBBCD9" w14:textId="31497A95" w:rsidR="009C50B4" w:rsidRDefault="009C50B4" w:rsidP="0093173A">
            <w:pPr>
              <w:jc w:val="both"/>
              <w:rPr>
                <w:rFonts w:ascii="Cambria" w:hAnsi="Cambria"/>
                <w:i/>
                <w:iCs/>
              </w:rPr>
            </w:pPr>
            <w:r w:rsidRPr="00CF2834">
              <w:rPr>
                <w:rFonts w:ascii="Cambria" w:hAnsi="Cambria"/>
                <w:i/>
                <w:iCs/>
              </w:rPr>
              <w:t>List possible connections from this interactive read aloud to connected content standards (lessons or activities).</w:t>
            </w:r>
          </w:p>
          <w:p w14:paraId="6AF070AE" w14:textId="77777777" w:rsidR="000F1C61" w:rsidRPr="00CF2834" w:rsidRDefault="000F1C61" w:rsidP="0093173A">
            <w:pPr>
              <w:jc w:val="both"/>
              <w:rPr>
                <w:rFonts w:ascii="Cambria" w:hAnsi="Cambria"/>
                <w:i/>
                <w:iCs/>
              </w:rPr>
            </w:pPr>
          </w:p>
          <w:p w14:paraId="1658C144" w14:textId="757F83AF" w:rsidR="00770C32" w:rsidRPr="00CF2834" w:rsidRDefault="00770C32" w:rsidP="0093173A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14:paraId="5E843021" w14:textId="77777777" w:rsidR="005C6B6C" w:rsidRPr="00CF2834" w:rsidRDefault="005C6B6C">
      <w:pPr>
        <w:rPr>
          <w:rFonts w:ascii="Cambria" w:hAnsi="Cambria"/>
        </w:rPr>
      </w:pPr>
    </w:p>
    <w:sectPr w:rsidR="005C6B6C" w:rsidRPr="00CF2834" w:rsidSect="00C26B4D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1E7E" w14:textId="77777777" w:rsidR="00773480" w:rsidRDefault="00773480" w:rsidP="009C50B4">
      <w:r>
        <w:separator/>
      </w:r>
    </w:p>
  </w:endnote>
  <w:endnote w:type="continuationSeparator" w:id="0">
    <w:p w14:paraId="5541B8BD" w14:textId="77777777" w:rsidR="00773480" w:rsidRDefault="00773480" w:rsidP="009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9478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1E9CA1" w14:textId="379BAADD" w:rsidR="00BC30E8" w:rsidRDefault="00BC30E8" w:rsidP="00BC30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6FABCC" w14:textId="77777777" w:rsidR="00BC30E8" w:rsidRDefault="00BC30E8" w:rsidP="009C5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828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1CB9E4" w14:textId="6CBDB858" w:rsidR="00BC30E8" w:rsidRDefault="00BC30E8" w:rsidP="00BC30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437A01" w14:textId="497AF157" w:rsidR="00BC30E8" w:rsidRPr="009C50B4" w:rsidRDefault="004E2858" w:rsidP="009C50B4">
    <w:pPr>
      <w:pStyle w:val="Footer"/>
      <w:ind w:right="360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1/12</w:t>
    </w:r>
    <w:r w:rsidR="006443A2">
      <w:rPr>
        <w:rFonts w:ascii="Cambria" w:hAnsi="Cambria"/>
        <w:i/>
        <w:sz w:val="18"/>
        <w:szCs w:val="18"/>
      </w:rPr>
      <w:t>/2</w:t>
    </w:r>
    <w:r>
      <w:rPr>
        <w:rFonts w:ascii="Cambria" w:hAnsi="Cambria"/>
        <w:i/>
        <w:sz w:val="18"/>
        <w:szCs w:val="18"/>
      </w:rPr>
      <w:t>2</w:t>
    </w:r>
    <w:r w:rsidR="00BC30E8">
      <w:rPr>
        <w:rFonts w:ascii="Cambria" w:hAnsi="Cambria"/>
        <w:i/>
        <w:sz w:val="18"/>
        <w:szCs w:val="18"/>
      </w:rPr>
      <w:tab/>
    </w:r>
  </w:p>
  <w:p w14:paraId="2629E4D4" w14:textId="1E87DB1E" w:rsidR="00BC30E8" w:rsidRPr="009C50B4" w:rsidRDefault="00BC30E8">
    <w:pPr>
      <w:pStyle w:val="Footer"/>
      <w:rPr>
        <w:rFonts w:ascii="Cambria" w:hAnsi="Cambria"/>
        <w:i/>
        <w:sz w:val="18"/>
        <w:szCs w:val="18"/>
      </w:rPr>
    </w:pPr>
    <w:r w:rsidRPr="009C50B4">
      <w:rPr>
        <w:rFonts w:ascii="Cambria" w:hAnsi="Cambria"/>
        <w:i/>
        <w:sz w:val="18"/>
        <w:szCs w:val="18"/>
      </w:rPr>
      <w:t>Elementary Learning Department</w:t>
    </w:r>
    <w:r>
      <w:rPr>
        <w:rFonts w:ascii="Cambria" w:hAnsi="Cambria"/>
        <w:i/>
        <w:sz w:val="18"/>
        <w:szCs w:val="18"/>
      </w:rPr>
      <w:tab/>
    </w:r>
    <w:r w:rsidR="00CA2EB4">
      <w:rPr>
        <w:rFonts w:ascii="Cambria" w:hAnsi="Cambria"/>
        <w:i/>
        <w:sz w:val="18"/>
        <w:szCs w:val="18"/>
      </w:rPr>
      <w:t xml:space="preserve">                                             </w:t>
    </w:r>
    <w:r w:rsidRPr="009C50B4">
      <w:rPr>
        <w:rFonts w:ascii="Cambria" w:hAnsi="Cambria"/>
        <w:b/>
        <w:sz w:val="18"/>
        <w:szCs w:val="18"/>
      </w:rPr>
      <w:t>*This is a recommended planning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A58E" w14:textId="77777777" w:rsidR="00773480" w:rsidRDefault="00773480" w:rsidP="009C50B4">
      <w:r>
        <w:separator/>
      </w:r>
    </w:p>
  </w:footnote>
  <w:footnote w:type="continuationSeparator" w:id="0">
    <w:p w14:paraId="3D835C43" w14:textId="77777777" w:rsidR="00773480" w:rsidRDefault="00773480" w:rsidP="009C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62E4C"/>
    <w:multiLevelType w:val="hybridMultilevel"/>
    <w:tmpl w:val="527CC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B4"/>
    <w:rsid w:val="00002DE8"/>
    <w:rsid w:val="000117BB"/>
    <w:rsid w:val="00054B08"/>
    <w:rsid w:val="0007289D"/>
    <w:rsid w:val="00073218"/>
    <w:rsid w:val="000E41E9"/>
    <w:rsid w:val="000E6DDD"/>
    <w:rsid w:val="000F1C61"/>
    <w:rsid w:val="00102AD0"/>
    <w:rsid w:val="001115D5"/>
    <w:rsid w:val="00120113"/>
    <w:rsid w:val="00171942"/>
    <w:rsid w:val="0018638D"/>
    <w:rsid w:val="00192A56"/>
    <w:rsid w:val="001B1B83"/>
    <w:rsid w:val="001D6BDC"/>
    <w:rsid w:val="001F25E1"/>
    <w:rsid w:val="00223601"/>
    <w:rsid w:val="002417C6"/>
    <w:rsid w:val="002600C5"/>
    <w:rsid w:val="0027279D"/>
    <w:rsid w:val="00274B37"/>
    <w:rsid w:val="002871D3"/>
    <w:rsid w:val="00290CD2"/>
    <w:rsid w:val="00292931"/>
    <w:rsid w:val="00293250"/>
    <w:rsid w:val="002B0186"/>
    <w:rsid w:val="002D48D9"/>
    <w:rsid w:val="002E3DAE"/>
    <w:rsid w:val="00354A86"/>
    <w:rsid w:val="003A7F8D"/>
    <w:rsid w:val="003D0884"/>
    <w:rsid w:val="003E423A"/>
    <w:rsid w:val="0040287E"/>
    <w:rsid w:val="004141D9"/>
    <w:rsid w:val="004232E0"/>
    <w:rsid w:val="00450935"/>
    <w:rsid w:val="00457051"/>
    <w:rsid w:val="00490333"/>
    <w:rsid w:val="0049220C"/>
    <w:rsid w:val="004C6AAF"/>
    <w:rsid w:val="004E2858"/>
    <w:rsid w:val="004F0466"/>
    <w:rsid w:val="004F1A9C"/>
    <w:rsid w:val="0053663F"/>
    <w:rsid w:val="005977E4"/>
    <w:rsid w:val="005B35E8"/>
    <w:rsid w:val="005C6B6C"/>
    <w:rsid w:val="005D144B"/>
    <w:rsid w:val="00614CF8"/>
    <w:rsid w:val="0061579D"/>
    <w:rsid w:val="006251D9"/>
    <w:rsid w:val="00630E57"/>
    <w:rsid w:val="006443A2"/>
    <w:rsid w:val="00645E43"/>
    <w:rsid w:val="00676011"/>
    <w:rsid w:val="00680ABF"/>
    <w:rsid w:val="006C5F2A"/>
    <w:rsid w:val="006F2945"/>
    <w:rsid w:val="00701C71"/>
    <w:rsid w:val="00705784"/>
    <w:rsid w:val="007603E4"/>
    <w:rsid w:val="00770C32"/>
    <w:rsid w:val="00773480"/>
    <w:rsid w:val="007955DD"/>
    <w:rsid w:val="007B2EA3"/>
    <w:rsid w:val="007D43B5"/>
    <w:rsid w:val="007D5636"/>
    <w:rsid w:val="007D74B0"/>
    <w:rsid w:val="00801837"/>
    <w:rsid w:val="00852941"/>
    <w:rsid w:val="00855B7F"/>
    <w:rsid w:val="00857BE0"/>
    <w:rsid w:val="00881511"/>
    <w:rsid w:val="008A41EC"/>
    <w:rsid w:val="008C798D"/>
    <w:rsid w:val="00900868"/>
    <w:rsid w:val="0093173A"/>
    <w:rsid w:val="009608AF"/>
    <w:rsid w:val="009A56A4"/>
    <w:rsid w:val="009C14C1"/>
    <w:rsid w:val="009C50B4"/>
    <w:rsid w:val="009E0C5C"/>
    <w:rsid w:val="009F2BB5"/>
    <w:rsid w:val="00A21D64"/>
    <w:rsid w:val="00A36E82"/>
    <w:rsid w:val="00A516F3"/>
    <w:rsid w:val="00A577F3"/>
    <w:rsid w:val="00A80AEF"/>
    <w:rsid w:val="00AA0F15"/>
    <w:rsid w:val="00AA5779"/>
    <w:rsid w:val="00AD080F"/>
    <w:rsid w:val="00B44458"/>
    <w:rsid w:val="00B522DB"/>
    <w:rsid w:val="00B716AC"/>
    <w:rsid w:val="00BC30E8"/>
    <w:rsid w:val="00BD29E3"/>
    <w:rsid w:val="00BE6E6E"/>
    <w:rsid w:val="00C01860"/>
    <w:rsid w:val="00C26B4D"/>
    <w:rsid w:val="00C54B48"/>
    <w:rsid w:val="00C722B4"/>
    <w:rsid w:val="00C82C99"/>
    <w:rsid w:val="00C847CD"/>
    <w:rsid w:val="00C92E88"/>
    <w:rsid w:val="00CA2EB4"/>
    <w:rsid w:val="00CE638A"/>
    <w:rsid w:val="00CF2834"/>
    <w:rsid w:val="00D14B92"/>
    <w:rsid w:val="00D2550D"/>
    <w:rsid w:val="00D32F15"/>
    <w:rsid w:val="00D65194"/>
    <w:rsid w:val="00D736A7"/>
    <w:rsid w:val="00D81D13"/>
    <w:rsid w:val="00D86C26"/>
    <w:rsid w:val="00DD6494"/>
    <w:rsid w:val="00DE6B98"/>
    <w:rsid w:val="00DF7EE1"/>
    <w:rsid w:val="00E1497E"/>
    <w:rsid w:val="00E21F50"/>
    <w:rsid w:val="00F51C6C"/>
    <w:rsid w:val="00F525E7"/>
    <w:rsid w:val="054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6C57"/>
  <w15:chartTrackingRefBased/>
  <w15:docId w15:val="{9E10ACB8-3AD5-984A-A9FD-4E81E82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50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B4"/>
  </w:style>
  <w:style w:type="paragraph" w:styleId="Footer">
    <w:name w:val="footer"/>
    <w:basedOn w:val="Normal"/>
    <w:link w:val="FooterChar"/>
    <w:uiPriority w:val="99"/>
    <w:unhideWhenUsed/>
    <w:rsid w:val="009C5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B4"/>
  </w:style>
  <w:style w:type="character" w:styleId="PageNumber">
    <w:name w:val="page number"/>
    <w:basedOn w:val="DefaultParagraphFont"/>
    <w:uiPriority w:val="99"/>
    <w:semiHidden/>
    <w:unhideWhenUsed/>
    <w:rsid w:val="009C50B4"/>
  </w:style>
  <w:style w:type="table" w:styleId="TableGrid">
    <w:name w:val="Table Grid"/>
    <w:basedOn w:val="TableNormal"/>
    <w:uiPriority w:val="59"/>
    <w:rsid w:val="009C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0B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4F0466"/>
  </w:style>
  <w:style w:type="paragraph" w:customStyle="1" w:styleId="paragraph">
    <w:name w:val="paragraph"/>
    <w:basedOn w:val="Normal"/>
    <w:rsid w:val="004F04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51C6C"/>
  </w:style>
  <w:style w:type="character" w:styleId="FollowedHyperlink">
    <w:name w:val="FollowedHyperlink"/>
    <w:basedOn w:val="DefaultParagraphFont"/>
    <w:uiPriority w:val="99"/>
    <w:semiHidden/>
    <w:unhideWhenUsed/>
    <w:rsid w:val="003A7F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7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D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M. Mancini</dc:creator>
  <cp:keywords/>
  <dc:description/>
  <cp:lastModifiedBy>Teri L. Acquavita</cp:lastModifiedBy>
  <cp:revision>9</cp:revision>
  <cp:lastPrinted>2018-12-10T18:56:00Z</cp:lastPrinted>
  <dcterms:created xsi:type="dcterms:W3CDTF">2022-01-12T14:14:00Z</dcterms:created>
  <dcterms:modified xsi:type="dcterms:W3CDTF">2022-01-12T14:52:00Z</dcterms:modified>
</cp:coreProperties>
</file>